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1BE" w:rsidRPr="004B2E5A" w:rsidRDefault="00AB1B92" w:rsidP="006D51BE">
      <w:pPr>
        <w:rPr>
          <w:b/>
          <w:sz w:val="24"/>
          <w:szCs w:val="22"/>
          <w:u w:val="single"/>
          <w:lang w:eastAsia="en-US"/>
        </w:rPr>
      </w:pPr>
      <w:r w:rsidRPr="004B2E5A">
        <w:rPr>
          <w:b/>
          <w:sz w:val="24"/>
          <w:szCs w:val="22"/>
          <w:u w:val="single"/>
          <w:lang w:eastAsia="en-US"/>
        </w:rPr>
        <w:t>Minimální požadavky na zpracování popisu SW dodavatele:</w:t>
      </w:r>
    </w:p>
    <w:p w:rsidR="006D51BE" w:rsidRPr="004B2E5A" w:rsidRDefault="006D51BE" w:rsidP="006D51BE">
      <w:pPr>
        <w:rPr>
          <w:sz w:val="24"/>
          <w:szCs w:val="22"/>
          <w:lang w:eastAsia="en-US"/>
        </w:rPr>
      </w:pPr>
    </w:p>
    <w:p w:rsidR="006D51BE" w:rsidRPr="004B2E5A" w:rsidRDefault="006D51BE" w:rsidP="006D51BE">
      <w:pPr>
        <w:rPr>
          <w:sz w:val="24"/>
          <w:szCs w:val="22"/>
          <w:lang w:eastAsia="en-US"/>
        </w:rPr>
      </w:pPr>
    </w:p>
    <w:p w:rsidR="006D51BE" w:rsidRPr="004B2E5A" w:rsidRDefault="006D51BE" w:rsidP="006D51BE">
      <w:pPr>
        <w:pStyle w:val="Odstavecseseznamem"/>
        <w:numPr>
          <w:ilvl w:val="0"/>
          <w:numId w:val="1"/>
        </w:numPr>
        <w:spacing w:before="0" w:beforeAutospacing="0" w:after="0" w:afterAutospacing="0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Obecně</w:t>
      </w:r>
    </w:p>
    <w:p w:rsidR="006D51BE" w:rsidRPr="004B2E5A" w:rsidRDefault="00AB1B92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C</w:t>
      </w:r>
      <w:r w:rsidR="006D51BE" w:rsidRPr="004B2E5A">
        <w:rPr>
          <w:rFonts w:eastAsia="Times New Roman"/>
          <w:color w:val="000000"/>
          <w:sz w:val="24"/>
        </w:rPr>
        <w:t>ertifikace ISO 27001</w:t>
      </w:r>
    </w:p>
    <w:p w:rsidR="006D51BE" w:rsidRPr="004B2E5A" w:rsidRDefault="006D51BE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rFonts w:eastAsia="Times New Roman"/>
          <w:color w:val="000000"/>
          <w:sz w:val="24"/>
        </w:rPr>
      </w:pPr>
      <w:bookmarkStart w:id="0" w:name="_GoBack"/>
      <w:bookmarkEnd w:id="0"/>
      <w:r w:rsidRPr="004B2E5A">
        <w:rPr>
          <w:rFonts w:eastAsia="Times New Roman"/>
          <w:color w:val="000000"/>
          <w:sz w:val="24"/>
        </w:rPr>
        <w:t>Existující procesy notifikace při porušení zabezpečení – KKN musí být včas upozorněna na neoprávněný přístup a/nebo ztrátu/poškození dokumentů.</w:t>
      </w:r>
    </w:p>
    <w:p w:rsidR="00316636" w:rsidRPr="004B2E5A" w:rsidRDefault="00AB1B92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sz w:val="24"/>
        </w:rPr>
      </w:pPr>
      <w:r w:rsidRPr="004B2E5A">
        <w:rPr>
          <w:rFonts w:eastAsia="Times New Roman"/>
          <w:color w:val="000000"/>
          <w:sz w:val="24"/>
        </w:rPr>
        <w:t>J</w:t>
      </w:r>
      <w:r w:rsidR="006D51BE" w:rsidRPr="004B2E5A">
        <w:rPr>
          <w:rFonts w:eastAsia="Times New Roman"/>
          <w:color w:val="000000"/>
          <w:sz w:val="24"/>
        </w:rPr>
        <w:t>aké jsou dodržovány bezpečnostní standardy</w:t>
      </w:r>
    </w:p>
    <w:p w:rsidR="00307193" w:rsidRPr="004B2E5A" w:rsidRDefault="006D51BE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sz w:val="24"/>
        </w:rPr>
      </w:pPr>
      <w:r w:rsidRPr="004B2E5A">
        <w:rPr>
          <w:rFonts w:eastAsia="Times New Roman"/>
          <w:color w:val="000000"/>
          <w:sz w:val="24"/>
        </w:rPr>
        <w:t>Třetí strany – využív</w:t>
      </w:r>
      <w:r w:rsidR="00AB1B92" w:rsidRPr="004B2E5A">
        <w:rPr>
          <w:rFonts w:eastAsia="Times New Roman"/>
          <w:color w:val="000000"/>
          <w:sz w:val="24"/>
        </w:rPr>
        <w:t xml:space="preserve">á dodavatel </w:t>
      </w:r>
      <w:r w:rsidRPr="004B2E5A">
        <w:rPr>
          <w:rFonts w:eastAsia="Times New Roman"/>
          <w:color w:val="000000"/>
          <w:sz w:val="24"/>
        </w:rPr>
        <w:t>pro svoje služby třetích stran? Pokud ano, tak jaké a jakým způsobem</w:t>
      </w:r>
    </w:p>
    <w:p w:rsidR="00AB1B92" w:rsidRPr="004B2E5A" w:rsidRDefault="00AB1B92" w:rsidP="00AB1B92">
      <w:pPr>
        <w:rPr>
          <w:sz w:val="22"/>
        </w:rPr>
      </w:pPr>
    </w:p>
    <w:p w:rsidR="00AB1B92" w:rsidRPr="004B2E5A" w:rsidRDefault="00AB1B92" w:rsidP="00AB1B92">
      <w:pPr>
        <w:pStyle w:val="Odstavecseseznamem"/>
        <w:numPr>
          <w:ilvl w:val="0"/>
          <w:numId w:val="1"/>
        </w:numPr>
        <w:spacing w:before="0" w:beforeAutospacing="0" w:after="0" w:afterAutospacing="0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Aplikace</w:t>
      </w:r>
    </w:p>
    <w:p w:rsidR="00AB1B92" w:rsidRPr="004B2E5A" w:rsidRDefault="00AB1B92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 xml:space="preserve">Přístupy pod různými rolemi – administrátor, uživatel, </w:t>
      </w:r>
      <w:proofErr w:type="gramStart"/>
      <w:r w:rsidRPr="004B2E5A">
        <w:rPr>
          <w:rFonts w:eastAsia="Times New Roman"/>
          <w:color w:val="000000"/>
          <w:sz w:val="24"/>
        </w:rPr>
        <w:t>auditor</w:t>
      </w:r>
      <w:r w:rsidR="00316636" w:rsidRPr="004B2E5A">
        <w:rPr>
          <w:rFonts w:eastAsia="Times New Roman"/>
          <w:color w:val="000000"/>
          <w:sz w:val="24"/>
        </w:rPr>
        <w:t>,</w:t>
      </w:r>
      <w:proofErr w:type="gramEnd"/>
      <w:r w:rsidRPr="004B2E5A">
        <w:rPr>
          <w:rFonts w:eastAsia="Times New Roman"/>
          <w:color w:val="000000"/>
          <w:sz w:val="24"/>
        </w:rPr>
        <w:t xml:space="preserve"> apod.,</w:t>
      </w:r>
    </w:p>
    <w:p w:rsidR="00AB1B92" w:rsidRPr="004B2E5A" w:rsidRDefault="00AB1B92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 xml:space="preserve">MFA – aplikací pro generování jednorázových kódů, bezpečnostním tokenem, autorizační </w:t>
      </w:r>
      <w:proofErr w:type="gramStart"/>
      <w:r w:rsidRPr="004B2E5A">
        <w:rPr>
          <w:rFonts w:eastAsia="Times New Roman"/>
          <w:color w:val="000000"/>
          <w:sz w:val="24"/>
        </w:rPr>
        <w:t>aplikací</w:t>
      </w:r>
      <w:r w:rsidR="00316636" w:rsidRPr="004B2E5A">
        <w:rPr>
          <w:rFonts w:eastAsia="Times New Roman"/>
          <w:color w:val="000000"/>
          <w:sz w:val="24"/>
        </w:rPr>
        <w:t>,</w:t>
      </w:r>
      <w:proofErr w:type="gramEnd"/>
      <w:r w:rsidRPr="004B2E5A">
        <w:rPr>
          <w:rFonts w:eastAsia="Times New Roman"/>
          <w:color w:val="000000"/>
          <w:sz w:val="24"/>
        </w:rPr>
        <w:t xml:space="preserve"> apod.</w:t>
      </w:r>
    </w:p>
    <w:p w:rsidR="00AB1B92" w:rsidRPr="004B2E5A" w:rsidRDefault="00AB1B92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Šifrování spojení TLS 1.2 nebo vyšší</w:t>
      </w:r>
    </w:p>
    <w:p w:rsidR="00AB1B92" w:rsidRPr="004B2E5A" w:rsidRDefault="00AB1B92" w:rsidP="00316636">
      <w:pPr>
        <w:pStyle w:val="Odstavecseseznamem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283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Skenované dokumenty</w:t>
      </w:r>
    </w:p>
    <w:p w:rsidR="00AB1B92" w:rsidRPr="004B2E5A" w:rsidRDefault="00AB1B92" w:rsidP="00316636">
      <w:pPr>
        <w:pStyle w:val="Odstavecseseznamem"/>
        <w:numPr>
          <w:ilvl w:val="2"/>
          <w:numId w:val="1"/>
        </w:numPr>
        <w:tabs>
          <w:tab w:val="clear" w:pos="2160"/>
        </w:tabs>
        <w:spacing w:before="0" w:beforeAutospacing="0" w:after="0" w:afterAutospacing="0"/>
        <w:ind w:left="1418" w:hanging="284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Uložené v šifrovaném úložišti</w:t>
      </w:r>
    </w:p>
    <w:p w:rsidR="00AB1B92" w:rsidRPr="004B2E5A" w:rsidRDefault="00AB1B92" w:rsidP="00316636">
      <w:pPr>
        <w:pStyle w:val="Odstavecseseznamem"/>
        <w:numPr>
          <w:ilvl w:val="2"/>
          <w:numId w:val="1"/>
        </w:numPr>
        <w:tabs>
          <w:tab w:val="clear" w:pos="2160"/>
        </w:tabs>
        <w:spacing w:before="0" w:beforeAutospacing="0" w:after="0" w:afterAutospacing="0"/>
        <w:ind w:left="1418" w:hanging="284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Řízení přístupů dle uživatelů/rolí</w:t>
      </w:r>
    </w:p>
    <w:p w:rsidR="00AB1B92" w:rsidRPr="004B2E5A" w:rsidRDefault="00AB1B92" w:rsidP="00316636">
      <w:pPr>
        <w:pStyle w:val="Odstavecseseznamem"/>
        <w:numPr>
          <w:ilvl w:val="2"/>
          <w:numId w:val="1"/>
        </w:numPr>
        <w:tabs>
          <w:tab w:val="clear" w:pos="2160"/>
        </w:tabs>
        <w:spacing w:before="0" w:beforeAutospacing="0" w:after="0" w:afterAutospacing="0"/>
        <w:ind w:left="1418" w:hanging="284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Možnost smazat dokumenty (následné smazání i z úložiště dodavatele)</w:t>
      </w:r>
    </w:p>
    <w:p w:rsidR="00AB1B92" w:rsidRPr="004B2E5A" w:rsidRDefault="00AB1B92" w:rsidP="00316636">
      <w:pPr>
        <w:pStyle w:val="Odstavecseseznamem"/>
        <w:numPr>
          <w:ilvl w:val="2"/>
          <w:numId w:val="1"/>
        </w:numPr>
        <w:tabs>
          <w:tab w:val="clear" w:pos="2160"/>
        </w:tabs>
        <w:spacing w:before="0" w:beforeAutospacing="0" w:after="0" w:afterAutospacing="0"/>
        <w:ind w:left="1418" w:hanging="284"/>
        <w:rPr>
          <w:rFonts w:eastAsia="Times New Roman"/>
          <w:color w:val="000000"/>
          <w:sz w:val="24"/>
        </w:rPr>
      </w:pPr>
      <w:r w:rsidRPr="004B2E5A">
        <w:rPr>
          <w:rFonts w:eastAsia="Times New Roman"/>
          <w:color w:val="000000"/>
          <w:sz w:val="24"/>
        </w:rPr>
        <w:t>Logování přístupů a práce s oskenovanými dokumenty</w:t>
      </w:r>
    </w:p>
    <w:p w:rsidR="00AB1B92" w:rsidRPr="004B2E5A" w:rsidRDefault="00AB1B92" w:rsidP="00AB1B92">
      <w:pPr>
        <w:rPr>
          <w:sz w:val="22"/>
        </w:rPr>
      </w:pPr>
    </w:p>
    <w:sectPr w:rsidR="00AB1B92" w:rsidRPr="004B2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37E3C"/>
    <w:multiLevelType w:val="multilevel"/>
    <w:tmpl w:val="385C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BE"/>
    <w:rsid w:val="00124F48"/>
    <w:rsid w:val="00307193"/>
    <w:rsid w:val="00316636"/>
    <w:rsid w:val="004B2E5A"/>
    <w:rsid w:val="004D0A8E"/>
    <w:rsid w:val="005F5D8F"/>
    <w:rsid w:val="006D51BE"/>
    <w:rsid w:val="00A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59715-C244-4F86-9B1D-AF735AB0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51BE"/>
    <w:pPr>
      <w:spacing w:after="0" w:line="240" w:lineRule="auto"/>
    </w:pPr>
    <w:rPr>
      <w:rFonts w:ascii="Calibri" w:hAnsi="Calibri" w:cs="Calibri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D51BE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6D51BE"/>
    <w:pPr>
      <w:spacing w:before="100" w:beforeAutospacing="1" w:after="100" w:afterAutospacing="1"/>
    </w:pPr>
    <w:rPr>
      <w:sz w:val="22"/>
      <w:szCs w:val="22"/>
    </w:rPr>
  </w:style>
  <w:style w:type="character" w:customStyle="1" w:styleId="apple-converted-space">
    <w:name w:val="apple-converted-space"/>
    <w:basedOn w:val="Standardnpsmoodstavce"/>
    <w:rsid w:val="006D51BE"/>
  </w:style>
  <w:style w:type="character" w:styleId="Sledovanodkaz">
    <w:name w:val="FollowedHyperlink"/>
    <w:basedOn w:val="Standardnpsmoodstavce"/>
    <w:uiPriority w:val="99"/>
    <w:semiHidden/>
    <w:unhideWhenUsed/>
    <w:rsid w:val="00AB1B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Jaroslav Bednář</cp:lastModifiedBy>
  <cp:revision>4</cp:revision>
  <dcterms:created xsi:type="dcterms:W3CDTF">2022-10-29T16:11:00Z</dcterms:created>
  <dcterms:modified xsi:type="dcterms:W3CDTF">2022-10-31T14:07:00Z</dcterms:modified>
</cp:coreProperties>
</file>